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95372" w14:textId="77777777" w:rsidR="006C1191" w:rsidRPr="006C1191" w:rsidRDefault="006C1191">
      <w:pPr>
        <w:jc w:val="center"/>
        <w:rPr>
          <w:b/>
          <w:bCs/>
          <w:color w:val="002060"/>
          <w:sz w:val="16"/>
          <w:szCs w:val="16"/>
          <w:u w:color="002060"/>
          <w:lang w:val="ru-RU"/>
        </w:rPr>
      </w:pPr>
    </w:p>
    <w:p w14:paraId="0D92016D" w14:textId="37EB5930" w:rsidR="00FE6031" w:rsidRDefault="00F80B23">
      <w:pPr>
        <w:jc w:val="center"/>
        <w:rPr>
          <w:b/>
          <w:bCs/>
          <w:color w:val="002060"/>
          <w:sz w:val="32"/>
          <w:szCs w:val="32"/>
          <w:u w:color="002060"/>
          <w:lang w:val="ru-RU"/>
        </w:rPr>
      </w:pPr>
      <w:r>
        <w:rPr>
          <w:b/>
          <w:bCs/>
          <w:color w:val="002060"/>
          <w:sz w:val="32"/>
          <w:szCs w:val="32"/>
          <w:u w:color="002060"/>
          <w:lang w:val="ru-RU"/>
        </w:rPr>
        <w:t xml:space="preserve">ФИНАЛИСТЫ ПОСТЕРНОЙ СЕССИИ </w:t>
      </w:r>
    </w:p>
    <w:p w14:paraId="354D6181" w14:textId="77777777" w:rsidR="00FE6031" w:rsidRDefault="00F80B23">
      <w:pPr>
        <w:jc w:val="center"/>
        <w:rPr>
          <w:color w:val="002060"/>
          <w:u w:color="002060"/>
          <w:lang w:val="ru-RU"/>
        </w:rPr>
      </w:pPr>
      <w:r>
        <w:rPr>
          <w:b/>
          <w:bCs/>
          <w:color w:val="002060"/>
          <w:sz w:val="32"/>
          <w:szCs w:val="32"/>
          <w:u w:color="002060"/>
          <w:lang w:val="ru-RU"/>
        </w:rPr>
        <w:t>РОССИЙСКОГО КОНГРЕССА ЛАБОРАТОРНОЙ МЕДИЦИНЫ 2026</w:t>
      </w:r>
    </w:p>
    <w:p w14:paraId="74A26076" w14:textId="795767B2" w:rsidR="00FE6031" w:rsidRPr="006C1191" w:rsidRDefault="00FE6031">
      <w:pPr>
        <w:pStyle w:val="a5"/>
        <w:tabs>
          <w:tab w:val="left" w:pos="3261"/>
        </w:tabs>
        <w:ind w:left="1080"/>
        <w:rPr>
          <w:b/>
          <w:bCs/>
          <w:color w:val="C00000"/>
          <w:sz w:val="16"/>
          <w:szCs w:val="16"/>
          <w:u w:color="C00000"/>
          <w:lang w:val="ru-RU"/>
        </w:rPr>
      </w:pPr>
    </w:p>
    <w:p w14:paraId="29320E5A" w14:textId="77777777" w:rsidR="006C1191" w:rsidRPr="006C1191" w:rsidRDefault="006C1191">
      <w:pPr>
        <w:pStyle w:val="a5"/>
        <w:tabs>
          <w:tab w:val="left" w:pos="3261"/>
        </w:tabs>
        <w:ind w:left="1080"/>
        <w:rPr>
          <w:b/>
          <w:bCs/>
          <w:color w:val="C00000"/>
          <w:sz w:val="16"/>
          <w:szCs w:val="16"/>
          <w:u w:color="C00000"/>
          <w:lang w:val="ru-RU"/>
        </w:rPr>
      </w:pPr>
    </w:p>
    <w:p w14:paraId="145B7D77" w14:textId="77777777" w:rsidR="00FE6031" w:rsidRDefault="00F80B23">
      <w:pPr>
        <w:pStyle w:val="a6"/>
      </w:pPr>
      <w:r>
        <w:t xml:space="preserve">Верификация нового метода </w:t>
      </w:r>
      <w:proofErr w:type="spellStart"/>
      <w:r>
        <w:t>иммунохемилюминесцентного</w:t>
      </w:r>
      <w:proofErr w:type="spellEnd"/>
      <w:r>
        <w:t xml:space="preserve"> анализа для серологических маркеров вируса Эпштейна-Барр: аналитическая оценка возможности перехода с метода </w:t>
      </w:r>
      <w:r>
        <w:t>иммуноферментного анализа</w:t>
      </w:r>
    </w:p>
    <w:p w14:paraId="14E8F59B" w14:textId="77777777" w:rsidR="00FE6031" w:rsidRDefault="00F80B23">
      <w:pPr>
        <w:pStyle w:val="a7"/>
      </w:pPr>
      <w:r>
        <w:t xml:space="preserve">Е.Б. Батова, Л.Ю. </w:t>
      </w:r>
      <w:proofErr w:type="spellStart"/>
      <w:r>
        <w:t>Абохассва</w:t>
      </w:r>
      <w:proofErr w:type="spellEnd"/>
      <w:r>
        <w:t xml:space="preserve">, Е.В. </w:t>
      </w:r>
      <w:proofErr w:type="spellStart"/>
      <w:r>
        <w:t>Чащихина</w:t>
      </w:r>
      <w:proofErr w:type="spellEnd"/>
      <w:r>
        <w:t>, В.В. Воропаев</w:t>
      </w:r>
    </w:p>
    <w:p w14:paraId="4822F7B3" w14:textId="77777777" w:rsidR="00FE6031" w:rsidRDefault="00FE6031">
      <w:pPr>
        <w:jc w:val="center"/>
        <w:rPr>
          <w:b/>
          <w:bCs/>
          <w:color w:val="C00000"/>
          <w:sz w:val="28"/>
          <w:szCs w:val="28"/>
          <w:u w:color="C00000"/>
          <w:lang w:val="ru-RU"/>
        </w:rPr>
      </w:pPr>
    </w:p>
    <w:p w14:paraId="0085774E" w14:textId="77777777" w:rsidR="00FE6031" w:rsidRDefault="00F80B23">
      <w:pPr>
        <w:pStyle w:val="a6"/>
      </w:pPr>
      <w:r>
        <w:t xml:space="preserve">Изолированная </w:t>
      </w:r>
      <w:proofErr w:type="spellStart"/>
      <w:r>
        <w:t>гипербилирубинемия</w:t>
      </w:r>
      <w:proofErr w:type="spellEnd"/>
      <w:r>
        <w:t xml:space="preserve"> на фоне приема </w:t>
      </w:r>
      <w:proofErr w:type="spellStart"/>
      <w:r>
        <w:t>сульфасалазина</w:t>
      </w:r>
      <w:proofErr w:type="spellEnd"/>
      <w:r>
        <w:t xml:space="preserve"> и безопасность длительной терапии НПВП при </w:t>
      </w:r>
      <w:proofErr w:type="spellStart"/>
      <w:r>
        <w:t>анкилозирующем</w:t>
      </w:r>
      <w:proofErr w:type="spellEnd"/>
      <w:r>
        <w:t xml:space="preserve"> </w:t>
      </w:r>
      <w:proofErr w:type="spellStart"/>
      <w:r>
        <w:t>спондите</w:t>
      </w:r>
      <w:proofErr w:type="spellEnd"/>
      <w:r>
        <w:t>: анализ лабораторных маркеров</w:t>
      </w:r>
    </w:p>
    <w:p w14:paraId="1B3EA6AF" w14:textId="77777777" w:rsidR="00FE6031" w:rsidRDefault="00F80B23">
      <w:pPr>
        <w:pStyle w:val="a7"/>
      </w:pPr>
      <w:r>
        <w:t xml:space="preserve">А.И. </w:t>
      </w:r>
      <w:proofErr w:type="spellStart"/>
      <w:r>
        <w:t>Брадик</w:t>
      </w:r>
      <w:proofErr w:type="spellEnd"/>
      <w:r>
        <w:t xml:space="preserve">, А.Д. </w:t>
      </w:r>
      <w:proofErr w:type="spellStart"/>
      <w:r>
        <w:t>Корсун</w:t>
      </w:r>
      <w:proofErr w:type="spellEnd"/>
      <w:r>
        <w:t xml:space="preserve">, Е.В. </w:t>
      </w:r>
      <w:proofErr w:type="spellStart"/>
      <w:r>
        <w:t>Папичев</w:t>
      </w:r>
      <w:proofErr w:type="spellEnd"/>
      <w:r>
        <w:t xml:space="preserve">, Ю.Р. </w:t>
      </w:r>
      <w:proofErr w:type="spellStart"/>
      <w:r>
        <w:t>Ахвердян</w:t>
      </w:r>
      <w:proofErr w:type="spellEnd"/>
    </w:p>
    <w:p w14:paraId="4D8D35A8" w14:textId="77777777" w:rsidR="00FE6031" w:rsidRDefault="00FE6031">
      <w:pPr>
        <w:pStyle w:val="a6"/>
      </w:pPr>
    </w:p>
    <w:p w14:paraId="3D504835" w14:textId="77777777" w:rsidR="00FE6031" w:rsidRDefault="00F80B23">
      <w:pPr>
        <w:pStyle w:val="a6"/>
      </w:pPr>
      <w:r>
        <w:t xml:space="preserve">Прогнозирование уровня </w:t>
      </w:r>
      <w:proofErr w:type="spellStart"/>
      <w:r>
        <w:t>антимюллерова</w:t>
      </w:r>
      <w:proofErr w:type="spellEnd"/>
      <w:r>
        <w:t xml:space="preserve"> гормона на основе доступных гормональных показателей с применением машинного обучения</w:t>
      </w:r>
    </w:p>
    <w:p w14:paraId="4BEEF710" w14:textId="77777777" w:rsidR="00FE6031" w:rsidRDefault="00F80B23">
      <w:pPr>
        <w:pStyle w:val="a7"/>
      </w:pPr>
      <w:r>
        <w:t xml:space="preserve">Р.Р. </w:t>
      </w:r>
      <w:proofErr w:type="spellStart"/>
      <w:r>
        <w:t>Гимадиев</w:t>
      </w:r>
      <w:proofErr w:type="spellEnd"/>
      <w:r>
        <w:t xml:space="preserve">, Н.С. Лобанов, И.О. </w:t>
      </w:r>
      <w:proofErr w:type="spellStart"/>
      <w:r>
        <w:t>Ковнацкий</w:t>
      </w:r>
      <w:proofErr w:type="spellEnd"/>
      <w:r>
        <w:t>, О.Б. Щеголев, К.Э. Лобанова, М.А. Виноградов</w:t>
      </w:r>
      <w:r>
        <w:t xml:space="preserve">, Е.Е. </w:t>
      </w:r>
      <w:proofErr w:type="spellStart"/>
      <w:r>
        <w:t>Куртова</w:t>
      </w:r>
      <w:proofErr w:type="spellEnd"/>
      <w:r>
        <w:t xml:space="preserve">, А.А. </w:t>
      </w:r>
      <w:proofErr w:type="spellStart"/>
      <w:r>
        <w:t>Абдыева</w:t>
      </w:r>
      <w:proofErr w:type="spellEnd"/>
    </w:p>
    <w:p w14:paraId="29890A8A" w14:textId="77777777" w:rsidR="00FE6031" w:rsidRDefault="00FE6031">
      <w:pPr>
        <w:pStyle w:val="a7"/>
      </w:pPr>
    </w:p>
    <w:p w14:paraId="09660EED" w14:textId="77777777" w:rsidR="00FE6031" w:rsidRDefault="00F80B23">
      <w:pPr>
        <w:pStyle w:val="a6"/>
      </w:pPr>
      <w:r>
        <w:t xml:space="preserve">Соотношение маркеров нарушения гематоэнцефалического барьера S100B и </w:t>
      </w:r>
      <w:proofErr w:type="spellStart"/>
      <w:r>
        <w:t>клаудина</w:t>
      </w:r>
      <w:proofErr w:type="spellEnd"/>
      <w:r>
        <w:t xml:space="preserve"> -5 в остром периоде ишемического инсульта</w:t>
      </w:r>
    </w:p>
    <w:p w14:paraId="2B5755D1" w14:textId="77777777" w:rsidR="00FE6031" w:rsidRDefault="00F80B23">
      <w:pPr>
        <w:pStyle w:val="a7"/>
      </w:pPr>
      <w:r>
        <w:t>М.А. Гуменная, Д.Н. Хуторов, Т.Г. Грибанова, О.В. Тихомирова, Н.Н. Зыбина</w:t>
      </w:r>
    </w:p>
    <w:p w14:paraId="508403D9" w14:textId="77777777" w:rsidR="00FE6031" w:rsidRDefault="00FE6031">
      <w:pPr>
        <w:pStyle w:val="a7"/>
      </w:pPr>
    </w:p>
    <w:p w14:paraId="73947C43" w14:textId="77777777" w:rsidR="00FE6031" w:rsidRDefault="00F80B23">
      <w:pPr>
        <w:pStyle w:val="a6"/>
      </w:pPr>
      <w:r>
        <w:t>Диагностическое и прогностическ</w:t>
      </w:r>
      <w:r>
        <w:t>ое значение антител к растворимому антигену печени и поджелудочной железы (</w:t>
      </w:r>
      <w:proofErr w:type="spellStart"/>
      <w:r>
        <w:t>аSLA</w:t>
      </w:r>
      <w:proofErr w:type="spellEnd"/>
      <w:r>
        <w:t>/LP) при аутоиммунном гепатите (АИГ)</w:t>
      </w:r>
    </w:p>
    <w:p w14:paraId="22700DC7" w14:textId="77777777" w:rsidR="00FE6031" w:rsidRDefault="00F80B23">
      <w:pPr>
        <w:pStyle w:val="a7"/>
      </w:pPr>
      <w:r>
        <w:t xml:space="preserve">А.С. Дорофеев, Е.Н. Александрова, Ю.Г. </w:t>
      </w:r>
      <w:proofErr w:type="spellStart"/>
      <w:r>
        <w:t>Сандлер</w:t>
      </w:r>
      <w:proofErr w:type="spellEnd"/>
      <w:r>
        <w:t>, А.А. Новиков, Е.В. Винницкая</w:t>
      </w:r>
    </w:p>
    <w:p w14:paraId="3FCD5373" w14:textId="77777777" w:rsidR="00FE6031" w:rsidRDefault="00FE6031">
      <w:pPr>
        <w:pStyle w:val="a7"/>
      </w:pPr>
    </w:p>
    <w:p w14:paraId="4307398B" w14:textId="77777777" w:rsidR="00FE6031" w:rsidRDefault="00F80B23">
      <w:pPr>
        <w:pStyle w:val="a6"/>
      </w:pPr>
      <w:r>
        <w:t xml:space="preserve">ИИ-система распознавания </w:t>
      </w:r>
      <w:proofErr w:type="spellStart"/>
      <w:r>
        <w:t>прогностически</w:t>
      </w:r>
      <w:proofErr w:type="spellEnd"/>
      <w:r>
        <w:t xml:space="preserve"> значимых паттернов ант</w:t>
      </w:r>
      <w:r>
        <w:t>инуклеарного фактора (AC-1, AC-3, AC-4/5) для лабораторной диагностики</w:t>
      </w:r>
    </w:p>
    <w:p w14:paraId="07377060" w14:textId="77777777" w:rsidR="00FE6031" w:rsidRDefault="00F80B23">
      <w:pPr>
        <w:pStyle w:val="a7"/>
        <w:rPr>
          <w:color w:val="C00000"/>
          <w:u w:color="C00000"/>
        </w:rPr>
      </w:pPr>
      <w:r>
        <w:t>К.М. Кононенко, Ж.Г. Верижникова</w:t>
      </w:r>
    </w:p>
    <w:p w14:paraId="74DED569" w14:textId="77777777" w:rsidR="00FE6031" w:rsidRDefault="00FE6031">
      <w:pPr>
        <w:pStyle w:val="a6"/>
        <w:rPr>
          <w:color w:val="C00000"/>
          <w:u w:color="C00000"/>
        </w:rPr>
      </w:pPr>
    </w:p>
    <w:p w14:paraId="23AE0260" w14:textId="77777777" w:rsidR="00FE6031" w:rsidRDefault="00F80B23">
      <w:pPr>
        <w:pStyle w:val="a6"/>
      </w:pPr>
      <w:r>
        <w:t xml:space="preserve">Лейкоцитоз у новорождённых: взаимосвязь с незрелыми гранулоцитами (IG%) и </w:t>
      </w:r>
      <w:proofErr w:type="spellStart"/>
      <w:r>
        <w:t>палочкоядерными</w:t>
      </w:r>
      <w:proofErr w:type="spellEnd"/>
      <w:r>
        <w:t xml:space="preserve"> нейтрофилами (ST%) в норме и при патологии</w:t>
      </w:r>
    </w:p>
    <w:p w14:paraId="659DDFA2" w14:textId="77777777" w:rsidR="00FE6031" w:rsidRDefault="00F80B23">
      <w:pPr>
        <w:pStyle w:val="a7"/>
      </w:pPr>
      <w:r>
        <w:t xml:space="preserve">М.В. Лаврик, Л.Г. </w:t>
      </w:r>
      <w:r>
        <w:t xml:space="preserve">Воронина, М.А. Яровых, А.В. </w:t>
      </w:r>
      <w:proofErr w:type="spellStart"/>
      <w:r>
        <w:t>Кархалева</w:t>
      </w:r>
      <w:proofErr w:type="spellEnd"/>
      <w:r>
        <w:t>, Е.А. Феоктистова</w:t>
      </w:r>
    </w:p>
    <w:p w14:paraId="749943FB" w14:textId="77777777" w:rsidR="00FE6031" w:rsidRDefault="00FE6031">
      <w:pPr>
        <w:pStyle w:val="a8"/>
        <w:rPr>
          <w:sz w:val="24"/>
          <w:szCs w:val="24"/>
        </w:rPr>
      </w:pPr>
    </w:p>
    <w:p w14:paraId="36D1F73C" w14:textId="77777777" w:rsidR="00FE6031" w:rsidRDefault="00F80B23">
      <w:pPr>
        <w:pStyle w:val="a6"/>
      </w:pPr>
      <w:r>
        <w:t xml:space="preserve">Контроль заместительной терапии у пациентов с гемофилией А с помощью теста </w:t>
      </w:r>
      <w:proofErr w:type="spellStart"/>
      <w:r>
        <w:t>тромбодинамики</w:t>
      </w:r>
      <w:proofErr w:type="spellEnd"/>
    </w:p>
    <w:p w14:paraId="300686CC" w14:textId="77777777" w:rsidR="00FE6031" w:rsidRDefault="00F80B23">
      <w:pPr>
        <w:pStyle w:val="a7"/>
      </w:pPr>
      <w:r>
        <w:t>О.Ю. Матвиенко, О.А. Смирнова</w:t>
      </w:r>
    </w:p>
    <w:p w14:paraId="056E1D53" w14:textId="77777777" w:rsidR="00FE6031" w:rsidRDefault="00FE6031">
      <w:pPr>
        <w:pStyle w:val="a7"/>
      </w:pPr>
    </w:p>
    <w:p w14:paraId="6C67AB21" w14:textId="77777777" w:rsidR="00FE6031" w:rsidRDefault="00F80B23">
      <w:pPr>
        <w:pStyle w:val="a6"/>
      </w:pPr>
      <w:r>
        <w:lastRenderedPageBreak/>
        <w:t xml:space="preserve">Индекс реактивности нейтрофилов отражает наличие бактериальной инфекции и тяжесть острого панкреатита </w:t>
      </w:r>
    </w:p>
    <w:p w14:paraId="601CF0BF" w14:textId="0A965BA6" w:rsidR="00FE6031" w:rsidRDefault="00F80B23">
      <w:pPr>
        <w:pStyle w:val="a7"/>
      </w:pPr>
      <w:r>
        <w:t xml:space="preserve">Л.П. Пивоварова, И.В. Осипова, О.Б. </w:t>
      </w:r>
      <w:proofErr w:type="spellStart"/>
      <w:r>
        <w:t>Арискина</w:t>
      </w:r>
      <w:proofErr w:type="spellEnd"/>
      <w:r>
        <w:t xml:space="preserve">, В.М. Малькова, А.А. Рысева, </w:t>
      </w:r>
      <w:r w:rsidR="006C1191">
        <w:br/>
      </w:r>
      <w:r>
        <w:t xml:space="preserve">Е.В. Маркелова, М.И. Громов, А.Е. </w:t>
      </w:r>
      <w:proofErr w:type="spellStart"/>
      <w:r>
        <w:t>Демко</w:t>
      </w:r>
      <w:proofErr w:type="spellEnd"/>
    </w:p>
    <w:p w14:paraId="514CAE9F" w14:textId="77777777" w:rsidR="00FE6031" w:rsidRDefault="00FE6031">
      <w:pPr>
        <w:pStyle w:val="a7"/>
      </w:pPr>
    </w:p>
    <w:p w14:paraId="05D3DE6F" w14:textId="77777777" w:rsidR="00FE6031" w:rsidRDefault="00F80B23">
      <w:pPr>
        <w:pStyle w:val="a6"/>
      </w:pPr>
      <w:r>
        <w:t>Применение активированного угля в каче</w:t>
      </w:r>
      <w:r>
        <w:t xml:space="preserve">стве сорбента при исследовании волчаночного антикоагулянта у пациентов, получающих терапию </w:t>
      </w:r>
      <w:proofErr w:type="spellStart"/>
      <w:r>
        <w:t>ривароксабаном</w:t>
      </w:r>
      <w:proofErr w:type="spellEnd"/>
    </w:p>
    <w:p w14:paraId="2C09058B" w14:textId="649D88CF" w:rsidR="00FE6031" w:rsidRDefault="00F80B23">
      <w:pPr>
        <w:pStyle w:val="a7"/>
      </w:pPr>
      <w:r>
        <w:t xml:space="preserve">А.В. Полетаев, Е.А. Серёгина, Д.Б. Флоринский, Т.Ю. </w:t>
      </w:r>
      <w:proofErr w:type="spellStart"/>
      <w:r>
        <w:t>Яфошкина</w:t>
      </w:r>
      <w:proofErr w:type="spellEnd"/>
      <w:r>
        <w:t xml:space="preserve">, </w:t>
      </w:r>
      <w:r w:rsidR="006C1191">
        <w:br/>
      </w:r>
      <w:r>
        <w:t>Д.А. Евстратов, П.А. Жарков</w:t>
      </w:r>
    </w:p>
    <w:p w14:paraId="71266854" w14:textId="77777777" w:rsidR="00FE6031" w:rsidRDefault="00FE6031">
      <w:pPr>
        <w:jc w:val="center"/>
        <w:rPr>
          <w:lang w:val="ru-RU"/>
        </w:rPr>
      </w:pPr>
    </w:p>
    <w:p w14:paraId="697D5F9D" w14:textId="77777777" w:rsidR="00FE6031" w:rsidRDefault="00F80B23">
      <w:pPr>
        <w:pStyle w:val="a6"/>
      </w:pPr>
      <w:r>
        <w:t>Диагностическая информативность опухолевых маркеров CA 50 и PIVKA-II у пациентов с раком поджелудочной железы</w:t>
      </w:r>
    </w:p>
    <w:p w14:paraId="09CA090B" w14:textId="77777777" w:rsidR="00FE6031" w:rsidRDefault="00F80B23">
      <w:pPr>
        <w:pStyle w:val="a7"/>
      </w:pPr>
      <w:r>
        <w:t>С.С. Соколова, К.К. Носкова, В.Д. Болотникова</w:t>
      </w:r>
    </w:p>
    <w:p w14:paraId="26C999E7" w14:textId="77777777" w:rsidR="00FE6031" w:rsidRDefault="00FE6031">
      <w:pPr>
        <w:pStyle w:val="a6"/>
      </w:pPr>
    </w:p>
    <w:p w14:paraId="1F220185" w14:textId="77777777" w:rsidR="00FE6031" w:rsidRDefault="00F80B23">
      <w:pPr>
        <w:pStyle w:val="a6"/>
      </w:pPr>
      <w:r>
        <w:t>Девиация результатов ПЦР под влиянием эндогенных интерферирующих компонентов мочи</w:t>
      </w:r>
    </w:p>
    <w:p w14:paraId="76A1138B" w14:textId="77777777" w:rsidR="00FE6031" w:rsidRDefault="00F80B23">
      <w:pPr>
        <w:pStyle w:val="a7"/>
      </w:pPr>
      <w:r>
        <w:t xml:space="preserve">К.Д. </w:t>
      </w:r>
      <w:proofErr w:type="spellStart"/>
      <w:r>
        <w:t>Целешюте</w:t>
      </w:r>
      <w:proofErr w:type="spellEnd"/>
      <w:r>
        <w:t>, М.</w:t>
      </w:r>
      <w:r>
        <w:t xml:space="preserve">В. Альварес </w:t>
      </w:r>
      <w:proofErr w:type="spellStart"/>
      <w:r>
        <w:t>Фигероа</w:t>
      </w:r>
      <w:proofErr w:type="spellEnd"/>
    </w:p>
    <w:sectPr w:rsidR="00FE6031" w:rsidSect="006C1191">
      <w:headerReference w:type="default" r:id="rId6"/>
      <w:headerReference w:type="first" r:id="rId7"/>
      <w:pgSz w:w="11900" w:h="16840"/>
      <w:pgMar w:top="1917" w:right="843" w:bottom="851" w:left="1276" w:header="284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35CF6" w14:textId="77777777" w:rsidR="00F80B23" w:rsidRDefault="00F80B23">
      <w:r>
        <w:separator/>
      </w:r>
    </w:p>
  </w:endnote>
  <w:endnote w:type="continuationSeparator" w:id="0">
    <w:p w14:paraId="605E2C37" w14:textId="77777777" w:rsidR="00F80B23" w:rsidRDefault="00F8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5F007" w14:textId="77777777" w:rsidR="00F80B23" w:rsidRDefault="00F80B23">
      <w:r>
        <w:separator/>
      </w:r>
    </w:p>
  </w:footnote>
  <w:footnote w:type="continuationSeparator" w:id="0">
    <w:p w14:paraId="45B3ED5B" w14:textId="77777777" w:rsidR="00F80B23" w:rsidRDefault="00F80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9C4C" w14:textId="723B596C" w:rsidR="00FE6031" w:rsidRDefault="006C1191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18C972" wp14:editId="68B6817C">
          <wp:simplePos x="0" y="0"/>
          <wp:positionH relativeFrom="column">
            <wp:posOffset>1102360</wp:posOffset>
          </wp:positionH>
          <wp:positionV relativeFrom="paragraph">
            <wp:posOffset>40640</wp:posOffset>
          </wp:positionV>
          <wp:extent cx="3619500" cy="802640"/>
          <wp:effectExtent l="0" t="0" r="0" b="0"/>
          <wp:wrapThrough wrapText="bothSides">
            <wp:wrapPolygon edited="0">
              <wp:start x="0" y="0"/>
              <wp:lineTo x="0" y="21019"/>
              <wp:lineTo x="21486" y="21019"/>
              <wp:lineTo x="21486" y="0"/>
              <wp:lineTo x="0" y="0"/>
            </wp:wrapPolygon>
          </wp:wrapThrough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C74C0" w14:textId="6D9D5DB0" w:rsidR="00FE6031" w:rsidRDefault="00F80B23" w:rsidP="006C1191">
    <w:pPr>
      <w:pStyle w:val="HeaderFooterA"/>
      <w:ind w:hanging="851"/>
    </w:pPr>
    <w:r>
      <w:rPr>
        <w:noProof/>
      </w:rPr>
      <w:drawing>
        <wp:inline distT="0" distB="0" distL="0" distR="0" wp14:anchorId="0417F819" wp14:editId="4E3AC772">
          <wp:extent cx="7048500" cy="1158240"/>
          <wp:effectExtent l="0" t="0" r="0" b="3810"/>
          <wp:docPr id="7" name="officeArt object" descr="Рисунок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Рисунок 21" descr="Рисунок 2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9918" cy="115847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031"/>
    <w:rsid w:val="006C1191"/>
    <w:rsid w:val="00F80B23"/>
    <w:rsid w:val="00FE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E0D9DF"/>
  <w15:docId w15:val="{7D76D523-AE7D-4B19-83A8-CD72B12F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styleId="a5">
    <w:name w:val="List Paragraph"/>
    <w:pPr>
      <w:ind w:left="720"/>
    </w:pPr>
    <w:rPr>
      <w:rFonts w:eastAsia="Times New Roman"/>
      <w:color w:val="000000"/>
      <w:u w:color="000000"/>
      <w:lang w:val="en-US"/>
    </w:rPr>
  </w:style>
  <w:style w:type="paragraph" w:customStyle="1" w:styleId="a6">
    <w:name w:val="ТЕМА"/>
    <w:pPr>
      <w:jc w:val="both"/>
    </w:pPr>
    <w:rPr>
      <w:rFonts w:cs="Arial Unicode MS"/>
      <w:b/>
      <w:bCs/>
      <w:color w:val="002060"/>
      <w:sz w:val="28"/>
      <w:szCs w:val="28"/>
      <w:u w:color="002060"/>
    </w:rPr>
  </w:style>
  <w:style w:type="paragraph" w:customStyle="1" w:styleId="a7">
    <w:name w:val="АВТОРЫ"/>
    <w:rPr>
      <w:rFonts w:cs="Arial Unicode MS"/>
      <w:i/>
      <w:iCs/>
      <w:color w:val="000000"/>
      <w:sz w:val="28"/>
      <w:szCs w:val="28"/>
      <w:u w:color="000000"/>
    </w:rPr>
  </w:style>
  <w:style w:type="paragraph" w:customStyle="1" w:styleId="a8">
    <w:name w:val="Тема"/>
    <w:next w:val="a"/>
    <w:pPr>
      <w:jc w:val="both"/>
    </w:pPr>
    <w:rPr>
      <w:rFonts w:eastAsia="Times New Roman"/>
      <w:b/>
      <w:bCs/>
      <w:color w:val="002060"/>
      <w:sz w:val="28"/>
      <w:szCs w:val="28"/>
      <w:u w:color="002060"/>
    </w:rPr>
  </w:style>
  <w:style w:type="paragraph" w:styleId="a9">
    <w:name w:val="footer"/>
    <w:basedOn w:val="a"/>
    <w:link w:val="aa"/>
    <w:uiPriority w:val="99"/>
    <w:unhideWhenUsed/>
    <w:rsid w:val="006C119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C1191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Сумакова Алла</dc:creator>
  <cp:lastModifiedBy>Алла</cp:lastModifiedBy>
  <cp:revision>2</cp:revision>
  <dcterms:created xsi:type="dcterms:W3CDTF">2026-09-22T15:49:00Z</dcterms:created>
  <dcterms:modified xsi:type="dcterms:W3CDTF">2026-09-22T15:49:00Z</dcterms:modified>
</cp:coreProperties>
</file>